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C2E6A">
      <w:pPr>
        <w:pStyle w:val="2"/>
        <w:spacing w:line="240" w:lineRule="auto"/>
        <w:ind w:firstLine="0"/>
        <w:rPr>
          <w:rFonts w:hint="eastAsia"/>
        </w:rPr>
      </w:pPr>
      <w:bookmarkStart w:id="0" w:name="_GoBack"/>
      <w:bookmarkEnd w:id="0"/>
      <w:r>
        <w:rPr>
          <w:rFonts w:hint="eastAsia"/>
        </w:rPr>
        <w:t>对计算机基础课程的思考</w:t>
      </w:r>
    </w:p>
    <w:p w:rsidR="00000000" w:rsidRDefault="007C2E6A">
      <w:pPr>
        <w:pStyle w:val="2"/>
        <w:ind w:firstLine="420"/>
        <w:rPr>
          <w:rFonts w:hint="eastAsi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6.35pt;margin-top:99pt;width:147pt;height:84.85pt;z-index:251657728" o:allowincell="f">
            <v:imagedata r:id="rId5" o:title=""/>
            <w10:wrap type="topAndBottom"/>
          </v:shape>
          <o:OLEObject Type="Embed" ProgID="MS_ClipArt_Gallery" ShapeID="_x0000_s1026" DrawAspect="Content" ObjectID="_1471674931" r:id="rId6"/>
        </w:pict>
      </w:r>
      <w:r>
        <w:rPr>
          <w:rFonts w:hint="eastAsia"/>
        </w:rPr>
        <w:t>从</w:t>
      </w:r>
      <w:r>
        <w:rPr>
          <w:rFonts w:hint="eastAsia"/>
        </w:rPr>
        <w:t>80</w:t>
      </w:r>
      <w:r>
        <w:rPr>
          <w:rFonts w:hint="eastAsia"/>
        </w:rPr>
        <w:t>年代末开始，许多学校在非计算机专业大学生中开设计算机基础课。为了规范和促进计算机基础课教学的开展，保证教学质量，教育部和各地教育行政部门都出台了相应的课程考核办法。例如，教育部考试中心和许多省市教育行政部门组织了计算机等级考试，以等级来划分学生计算机应用能力的高低。各学校也为提高本校学生计算机知识水平采取了许多措施。如为加强该课程的建设进行了大量人力物力投入，制定和完善校内有关政策，如将通过等级考试与学生的学位甚至毕业挂钩，以促使学生在学习计算机知识上下工夫。无疑这些措施对提</w:t>
      </w:r>
      <w:r>
        <w:rPr>
          <w:rFonts w:hint="eastAsia"/>
        </w:rPr>
        <w:t>高大学生的计算机水平起到了积极有效的促进作用。十几年来，大学生的计算机应用水平得到了长足的进步。然而，多年基本不变的教学模式和考核模式已越来越不适应社会的发展，我们必须对新形势下计算机基础课的教学进行深入的研究，并作出相应的改进。</w:t>
      </w:r>
    </w:p>
    <w:p w:rsidR="00000000" w:rsidRDefault="007C2E6A">
      <w:pPr>
        <w:pStyle w:val="2"/>
        <w:spacing w:after="240"/>
        <w:rPr>
          <w:rFonts w:hint="eastAsia"/>
        </w:rPr>
      </w:pPr>
      <w:r>
        <w:rPr>
          <w:rFonts w:hint="eastAsia"/>
        </w:rPr>
        <w:t>人类跨入二十一世纪，信息时代和知识经济已不是遥远的设想，我们已经感觉到它的不断逼近，计算机应用范围越来越广，越来越普及，已逐步成为一种广泛的社会文化，它改变或正在改变我们的工作、学习和生活方式。有消息报道</w:t>
      </w:r>
      <w:r>
        <w:rPr>
          <w:rFonts w:hint="eastAsia"/>
        </w:rPr>
        <w:t>1999</w:t>
      </w:r>
      <w:r>
        <w:rPr>
          <w:rFonts w:hint="eastAsia"/>
        </w:rPr>
        <w:t>年我国</w:t>
      </w:r>
      <w:r>
        <w:rPr>
          <w:rFonts w:hint="eastAsia"/>
        </w:rPr>
        <w:t>PC</w:t>
      </w:r>
      <w:r>
        <w:rPr>
          <w:rFonts w:hint="eastAsia"/>
        </w:rPr>
        <w:t>机市场销售</w:t>
      </w:r>
      <w:r>
        <w:rPr>
          <w:rFonts w:hint="eastAsia"/>
        </w:rPr>
        <w:t>500</w:t>
      </w:r>
      <w:r>
        <w:rPr>
          <w:rFonts w:hint="eastAsia"/>
        </w:rPr>
        <w:t>万台以上（其中家用电脑占</w:t>
      </w:r>
      <w:r>
        <w:rPr>
          <w:rFonts w:hint="eastAsia"/>
        </w:rPr>
        <w:t>30</w:t>
      </w:r>
      <w:r>
        <w:rPr>
          <w:rFonts w:hint="eastAsia"/>
        </w:rPr>
        <w:t>％以上，且比例</w:t>
      </w:r>
      <w:r>
        <w:rPr>
          <w:rFonts w:hint="eastAsia"/>
        </w:rPr>
        <w:t>呈上升势头），占亚太地区（不包括日本）的</w:t>
      </w:r>
      <w:r>
        <w:rPr>
          <w:rFonts w:hint="eastAsia"/>
        </w:rPr>
        <w:t>34</w:t>
      </w:r>
      <w:r>
        <w:rPr>
          <w:rFonts w:hint="eastAsia"/>
        </w:rPr>
        <w:t>％左右，已成为世界重要的</w:t>
      </w:r>
      <w:r>
        <w:rPr>
          <w:rFonts w:hint="eastAsia"/>
        </w:rPr>
        <w:t>PC</w:t>
      </w:r>
      <w:r>
        <w:rPr>
          <w:rFonts w:hint="eastAsia"/>
        </w:rPr>
        <w:t>市场之一。我国网络市场发展的增长趋势更加强劲据中国互联网络信息中心的统计，各项指标均在两年多的时间里增长了</w:t>
      </w:r>
      <w:r>
        <w:rPr>
          <w:rFonts w:hint="eastAsia"/>
        </w:rPr>
        <w:t>10</w:t>
      </w:r>
      <w:r>
        <w:rPr>
          <w:rFonts w:hint="eastAsia"/>
        </w:rPr>
        <w:t>倍以上，见下表：</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08"/>
        <w:gridCol w:w="1762"/>
        <w:gridCol w:w="1785"/>
        <w:gridCol w:w="1365"/>
      </w:tblGrid>
      <w:tr w:rsidR="00000000">
        <w:tblPrEx>
          <w:tblCellMar>
            <w:top w:w="0" w:type="dxa"/>
            <w:bottom w:w="0" w:type="dxa"/>
          </w:tblCellMar>
        </w:tblPrEx>
        <w:tc>
          <w:tcPr>
            <w:tcW w:w="1808" w:type="dxa"/>
            <w:shd w:val="pct12" w:color="auto" w:fill="auto"/>
            <w:vAlign w:val="center"/>
          </w:tcPr>
          <w:p w:rsidR="00000000" w:rsidRDefault="007C2E6A">
            <w:pPr>
              <w:jc w:val="center"/>
              <w:rPr>
                <w:rFonts w:ascii="宋体" w:hint="eastAsia"/>
              </w:rPr>
            </w:pPr>
            <w:r>
              <w:rPr>
                <w:rFonts w:ascii="宋体" w:hint="eastAsia"/>
              </w:rPr>
              <w:t>对比项目</w:t>
            </w:r>
          </w:p>
        </w:tc>
        <w:tc>
          <w:tcPr>
            <w:tcW w:w="1762" w:type="dxa"/>
            <w:shd w:val="pct12" w:color="auto" w:fill="auto"/>
            <w:vAlign w:val="center"/>
          </w:tcPr>
          <w:p w:rsidR="00000000" w:rsidRDefault="007C2E6A">
            <w:pPr>
              <w:jc w:val="center"/>
              <w:rPr>
                <w:rFonts w:ascii="宋体" w:hint="eastAsia"/>
              </w:rPr>
            </w:pPr>
            <w:r>
              <w:rPr>
                <w:rFonts w:ascii="宋体" w:hint="eastAsia"/>
              </w:rPr>
              <w:t>97</w:t>
            </w:r>
            <w:r>
              <w:rPr>
                <w:rFonts w:ascii="宋体" w:hint="eastAsia"/>
              </w:rPr>
              <w:t>年统计数</w:t>
            </w:r>
          </w:p>
          <w:p w:rsidR="00000000" w:rsidRDefault="007C2E6A">
            <w:pPr>
              <w:jc w:val="center"/>
              <w:rPr>
                <w:rFonts w:ascii="宋体" w:hint="eastAsia"/>
              </w:rPr>
            </w:pPr>
            <w:r>
              <w:rPr>
                <w:rFonts w:ascii="宋体" w:hint="eastAsia"/>
              </w:rPr>
              <w:t>（截止期</w:t>
            </w:r>
            <w:r>
              <w:rPr>
                <w:rFonts w:ascii="宋体" w:hint="eastAsia"/>
              </w:rPr>
              <w:t>97</w:t>
            </w:r>
            <w:r>
              <w:rPr>
                <w:rFonts w:ascii="宋体" w:hint="eastAsia"/>
              </w:rPr>
              <w:t>年</w:t>
            </w:r>
          </w:p>
          <w:p w:rsidR="00000000" w:rsidRDefault="007C2E6A">
            <w:pPr>
              <w:jc w:val="center"/>
              <w:rPr>
                <w:rFonts w:ascii="宋体" w:hint="eastAsia"/>
              </w:rPr>
            </w:pPr>
            <w:r>
              <w:rPr>
                <w:rFonts w:ascii="宋体" w:hint="eastAsia"/>
              </w:rPr>
              <w:t>10</w:t>
            </w:r>
            <w:r>
              <w:rPr>
                <w:rFonts w:ascii="宋体" w:hint="eastAsia"/>
              </w:rPr>
              <w:t>月</w:t>
            </w:r>
            <w:r>
              <w:rPr>
                <w:rFonts w:ascii="宋体" w:hint="eastAsia"/>
              </w:rPr>
              <w:t>31</w:t>
            </w:r>
            <w:r>
              <w:rPr>
                <w:rFonts w:ascii="宋体" w:hint="eastAsia"/>
              </w:rPr>
              <w:t>日）</w:t>
            </w:r>
          </w:p>
        </w:tc>
        <w:tc>
          <w:tcPr>
            <w:tcW w:w="1785" w:type="dxa"/>
            <w:shd w:val="pct12" w:color="auto" w:fill="auto"/>
            <w:vAlign w:val="center"/>
          </w:tcPr>
          <w:p w:rsidR="00000000" w:rsidRDefault="007C2E6A">
            <w:pPr>
              <w:jc w:val="center"/>
              <w:rPr>
                <w:rFonts w:ascii="宋体" w:hint="eastAsia"/>
              </w:rPr>
            </w:pPr>
            <w:r>
              <w:rPr>
                <w:rFonts w:ascii="宋体" w:hint="eastAsia"/>
              </w:rPr>
              <w:t>2000</w:t>
            </w:r>
            <w:r>
              <w:rPr>
                <w:rFonts w:ascii="宋体" w:hint="eastAsia"/>
              </w:rPr>
              <w:t>年统计数</w:t>
            </w:r>
          </w:p>
          <w:p w:rsidR="00000000" w:rsidRDefault="007C2E6A">
            <w:pPr>
              <w:jc w:val="center"/>
              <w:rPr>
                <w:rFonts w:ascii="宋体" w:hint="eastAsia"/>
              </w:rPr>
            </w:pPr>
            <w:r>
              <w:rPr>
                <w:rFonts w:ascii="宋体" w:hint="eastAsia"/>
              </w:rPr>
              <w:t>（截止期</w:t>
            </w:r>
            <w:r>
              <w:rPr>
                <w:rFonts w:ascii="宋体" w:hint="eastAsia"/>
              </w:rPr>
              <w:t>99</w:t>
            </w:r>
            <w:r>
              <w:rPr>
                <w:rFonts w:ascii="宋体" w:hint="eastAsia"/>
              </w:rPr>
              <w:t>年</w:t>
            </w:r>
          </w:p>
          <w:p w:rsidR="00000000" w:rsidRDefault="007C2E6A">
            <w:pPr>
              <w:jc w:val="center"/>
              <w:rPr>
                <w:rFonts w:ascii="宋体" w:hint="eastAsia"/>
              </w:rPr>
            </w:pPr>
            <w:r>
              <w:rPr>
                <w:rFonts w:ascii="宋体" w:hint="eastAsia"/>
              </w:rPr>
              <w:t>12</w:t>
            </w:r>
            <w:r>
              <w:rPr>
                <w:rFonts w:ascii="宋体" w:hint="eastAsia"/>
              </w:rPr>
              <w:t>月</w:t>
            </w:r>
            <w:r>
              <w:rPr>
                <w:rFonts w:ascii="宋体" w:hint="eastAsia"/>
              </w:rPr>
              <w:t>31</w:t>
            </w:r>
            <w:r>
              <w:rPr>
                <w:rFonts w:ascii="宋体" w:hint="eastAsia"/>
              </w:rPr>
              <w:t>日）</w:t>
            </w:r>
          </w:p>
        </w:tc>
        <w:tc>
          <w:tcPr>
            <w:tcW w:w="1365" w:type="dxa"/>
            <w:shd w:val="pct12" w:color="auto" w:fill="auto"/>
            <w:vAlign w:val="center"/>
          </w:tcPr>
          <w:p w:rsidR="00000000" w:rsidRDefault="007C2E6A">
            <w:pPr>
              <w:jc w:val="center"/>
              <w:rPr>
                <w:rFonts w:ascii="宋体" w:hint="eastAsia"/>
              </w:rPr>
            </w:pPr>
            <w:r>
              <w:rPr>
                <w:rFonts w:ascii="宋体" w:hint="eastAsia"/>
              </w:rPr>
              <w:t>增长</w:t>
            </w:r>
          </w:p>
        </w:tc>
      </w:tr>
      <w:tr w:rsidR="00000000">
        <w:tblPrEx>
          <w:tblCellMar>
            <w:top w:w="0" w:type="dxa"/>
            <w:bottom w:w="0" w:type="dxa"/>
          </w:tblCellMar>
        </w:tblPrEx>
        <w:tc>
          <w:tcPr>
            <w:tcW w:w="1808" w:type="dxa"/>
            <w:shd w:val="pct5" w:color="auto" w:fill="auto"/>
          </w:tcPr>
          <w:p w:rsidR="00000000" w:rsidRDefault="007C2E6A">
            <w:pPr>
              <w:jc w:val="center"/>
              <w:rPr>
                <w:rFonts w:ascii="黑体" w:eastAsia="黑体" w:hint="eastAsia"/>
              </w:rPr>
            </w:pPr>
            <w:r>
              <w:rPr>
                <w:rFonts w:ascii="黑体" w:eastAsia="黑体" w:hint="eastAsia"/>
              </w:rPr>
              <w:t>上网计算机数</w:t>
            </w:r>
          </w:p>
        </w:tc>
        <w:tc>
          <w:tcPr>
            <w:tcW w:w="1762" w:type="dxa"/>
          </w:tcPr>
          <w:p w:rsidR="00000000" w:rsidRDefault="007C2E6A">
            <w:pPr>
              <w:jc w:val="center"/>
              <w:rPr>
                <w:rFonts w:ascii="楷体_GB2312" w:eastAsia="楷体_GB2312" w:hint="eastAsia"/>
              </w:rPr>
            </w:pPr>
            <w:r>
              <w:rPr>
                <w:rFonts w:ascii="楷体_GB2312" w:eastAsia="楷体_GB2312" w:hint="eastAsia"/>
              </w:rPr>
              <w:t>29.9</w:t>
            </w:r>
            <w:r>
              <w:rPr>
                <w:rFonts w:ascii="楷体_GB2312" w:eastAsia="楷体_GB2312" w:hint="eastAsia"/>
              </w:rPr>
              <w:t>万台</w:t>
            </w:r>
          </w:p>
        </w:tc>
        <w:tc>
          <w:tcPr>
            <w:tcW w:w="1785" w:type="dxa"/>
          </w:tcPr>
          <w:p w:rsidR="00000000" w:rsidRDefault="007C2E6A">
            <w:pPr>
              <w:jc w:val="center"/>
              <w:rPr>
                <w:rFonts w:ascii="楷体_GB2312" w:eastAsia="楷体_GB2312" w:hint="eastAsia"/>
              </w:rPr>
            </w:pPr>
            <w:r>
              <w:rPr>
                <w:rFonts w:ascii="楷体_GB2312" w:eastAsia="楷体_GB2312" w:hint="eastAsia"/>
              </w:rPr>
              <w:t>350</w:t>
            </w:r>
            <w:r>
              <w:rPr>
                <w:rFonts w:ascii="楷体_GB2312" w:eastAsia="楷体_GB2312" w:hint="eastAsia"/>
              </w:rPr>
              <w:t>万台</w:t>
            </w:r>
          </w:p>
        </w:tc>
        <w:tc>
          <w:tcPr>
            <w:tcW w:w="1365" w:type="dxa"/>
          </w:tcPr>
          <w:p w:rsidR="00000000" w:rsidRDefault="007C2E6A">
            <w:pPr>
              <w:jc w:val="center"/>
              <w:rPr>
                <w:rFonts w:ascii="楷体_GB2312" w:eastAsia="楷体_GB2312" w:hint="eastAsia"/>
              </w:rPr>
            </w:pPr>
            <w:r>
              <w:rPr>
                <w:rFonts w:ascii="楷体_GB2312" w:eastAsia="楷体_GB2312" w:hint="eastAsia"/>
              </w:rPr>
              <w:t>约</w:t>
            </w:r>
            <w:r>
              <w:rPr>
                <w:rFonts w:ascii="楷体_GB2312" w:eastAsia="楷体_GB2312" w:hint="eastAsia"/>
              </w:rPr>
              <w:t>11.7</w:t>
            </w:r>
            <w:r>
              <w:rPr>
                <w:rFonts w:ascii="楷体_GB2312" w:eastAsia="楷体_GB2312" w:hint="eastAsia"/>
              </w:rPr>
              <w:t>倍</w:t>
            </w:r>
          </w:p>
        </w:tc>
      </w:tr>
      <w:tr w:rsidR="00000000">
        <w:tblPrEx>
          <w:tblCellMar>
            <w:top w:w="0" w:type="dxa"/>
            <w:bottom w:w="0" w:type="dxa"/>
          </w:tblCellMar>
        </w:tblPrEx>
        <w:tc>
          <w:tcPr>
            <w:tcW w:w="1808" w:type="dxa"/>
            <w:shd w:val="pct5" w:color="auto" w:fill="auto"/>
          </w:tcPr>
          <w:p w:rsidR="00000000" w:rsidRDefault="007C2E6A">
            <w:pPr>
              <w:jc w:val="center"/>
              <w:rPr>
                <w:rFonts w:ascii="黑体" w:eastAsia="黑体" w:hint="eastAsia"/>
              </w:rPr>
            </w:pPr>
            <w:r>
              <w:rPr>
                <w:rFonts w:ascii="黑体" w:eastAsia="黑体" w:hint="eastAsia"/>
              </w:rPr>
              <w:t>其中专线上网</w:t>
            </w:r>
          </w:p>
        </w:tc>
        <w:tc>
          <w:tcPr>
            <w:tcW w:w="1762" w:type="dxa"/>
          </w:tcPr>
          <w:p w:rsidR="00000000" w:rsidRDefault="007C2E6A">
            <w:pPr>
              <w:jc w:val="center"/>
              <w:rPr>
                <w:rFonts w:ascii="楷体_GB2312" w:eastAsia="楷体_GB2312" w:hint="eastAsia"/>
              </w:rPr>
            </w:pPr>
            <w:r>
              <w:rPr>
                <w:rFonts w:ascii="楷体_GB2312" w:eastAsia="楷体_GB2312" w:hint="eastAsia"/>
              </w:rPr>
              <w:t>4.9</w:t>
            </w:r>
            <w:r>
              <w:rPr>
                <w:rFonts w:ascii="楷体_GB2312" w:eastAsia="楷体_GB2312" w:hint="eastAsia"/>
              </w:rPr>
              <w:t>万台</w:t>
            </w:r>
          </w:p>
        </w:tc>
        <w:tc>
          <w:tcPr>
            <w:tcW w:w="1785" w:type="dxa"/>
          </w:tcPr>
          <w:p w:rsidR="00000000" w:rsidRDefault="007C2E6A">
            <w:pPr>
              <w:jc w:val="center"/>
              <w:rPr>
                <w:rFonts w:ascii="楷体_GB2312" w:eastAsia="楷体_GB2312" w:hint="eastAsia"/>
              </w:rPr>
            </w:pPr>
            <w:r>
              <w:rPr>
                <w:rFonts w:ascii="楷体_GB2312" w:eastAsia="楷体_GB2312" w:hint="eastAsia"/>
              </w:rPr>
              <w:t>41</w:t>
            </w:r>
            <w:r>
              <w:rPr>
                <w:rFonts w:ascii="楷体_GB2312" w:eastAsia="楷体_GB2312" w:hint="eastAsia"/>
              </w:rPr>
              <w:t>万台</w:t>
            </w:r>
          </w:p>
        </w:tc>
        <w:tc>
          <w:tcPr>
            <w:tcW w:w="1365" w:type="dxa"/>
          </w:tcPr>
          <w:p w:rsidR="00000000" w:rsidRDefault="007C2E6A">
            <w:pPr>
              <w:jc w:val="center"/>
              <w:rPr>
                <w:rFonts w:ascii="楷体_GB2312" w:eastAsia="楷体_GB2312" w:hint="eastAsia"/>
              </w:rPr>
            </w:pPr>
            <w:r>
              <w:rPr>
                <w:rFonts w:ascii="楷体_GB2312" w:eastAsia="楷体_GB2312" w:hint="eastAsia"/>
              </w:rPr>
              <w:t>约</w:t>
            </w:r>
            <w:r>
              <w:rPr>
                <w:rFonts w:ascii="楷体_GB2312" w:eastAsia="楷体_GB2312" w:hint="eastAsia"/>
              </w:rPr>
              <w:t>8.37</w:t>
            </w:r>
            <w:r>
              <w:rPr>
                <w:rFonts w:ascii="楷体_GB2312" w:eastAsia="楷体_GB2312" w:hint="eastAsia"/>
              </w:rPr>
              <w:t>倍</w:t>
            </w:r>
          </w:p>
        </w:tc>
      </w:tr>
      <w:tr w:rsidR="00000000">
        <w:tblPrEx>
          <w:tblCellMar>
            <w:top w:w="0" w:type="dxa"/>
            <w:bottom w:w="0" w:type="dxa"/>
          </w:tblCellMar>
        </w:tblPrEx>
        <w:tc>
          <w:tcPr>
            <w:tcW w:w="1808" w:type="dxa"/>
            <w:shd w:val="pct5" w:color="auto" w:fill="auto"/>
          </w:tcPr>
          <w:p w:rsidR="00000000" w:rsidRDefault="007C2E6A">
            <w:pPr>
              <w:jc w:val="center"/>
              <w:rPr>
                <w:rFonts w:ascii="黑体" w:eastAsia="黑体" w:hint="eastAsia"/>
              </w:rPr>
            </w:pPr>
            <w:r>
              <w:rPr>
                <w:rFonts w:ascii="黑体" w:eastAsia="黑体" w:hint="eastAsia"/>
              </w:rPr>
              <w:t>拨号上网</w:t>
            </w:r>
          </w:p>
        </w:tc>
        <w:tc>
          <w:tcPr>
            <w:tcW w:w="1762" w:type="dxa"/>
          </w:tcPr>
          <w:p w:rsidR="00000000" w:rsidRDefault="007C2E6A">
            <w:pPr>
              <w:jc w:val="center"/>
              <w:rPr>
                <w:rFonts w:ascii="楷体_GB2312" w:eastAsia="楷体_GB2312" w:hint="eastAsia"/>
              </w:rPr>
            </w:pPr>
            <w:r>
              <w:rPr>
                <w:rFonts w:ascii="楷体_GB2312" w:eastAsia="楷体_GB2312" w:hint="eastAsia"/>
              </w:rPr>
              <w:t>25</w:t>
            </w:r>
            <w:r>
              <w:rPr>
                <w:rFonts w:ascii="楷体_GB2312" w:eastAsia="楷体_GB2312" w:hint="eastAsia"/>
              </w:rPr>
              <w:t>万台</w:t>
            </w:r>
          </w:p>
        </w:tc>
        <w:tc>
          <w:tcPr>
            <w:tcW w:w="1785" w:type="dxa"/>
          </w:tcPr>
          <w:p w:rsidR="00000000" w:rsidRDefault="007C2E6A">
            <w:pPr>
              <w:jc w:val="center"/>
              <w:rPr>
                <w:rFonts w:ascii="楷体_GB2312" w:eastAsia="楷体_GB2312" w:hint="eastAsia"/>
              </w:rPr>
            </w:pPr>
            <w:r>
              <w:rPr>
                <w:rFonts w:ascii="楷体_GB2312" w:eastAsia="楷体_GB2312" w:hint="eastAsia"/>
              </w:rPr>
              <w:t>309</w:t>
            </w:r>
            <w:r>
              <w:rPr>
                <w:rFonts w:ascii="楷体_GB2312" w:eastAsia="楷体_GB2312" w:hint="eastAsia"/>
              </w:rPr>
              <w:t>万台</w:t>
            </w:r>
          </w:p>
        </w:tc>
        <w:tc>
          <w:tcPr>
            <w:tcW w:w="1365" w:type="dxa"/>
          </w:tcPr>
          <w:p w:rsidR="00000000" w:rsidRDefault="007C2E6A">
            <w:pPr>
              <w:jc w:val="center"/>
              <w:rPr>
                <w:rFonts w:ascii="楷体_GB2312" w:eastAsia="楷体_GB2312" w:hint="eastAsia"/>
              </w:rPr>
            </w:pPr>
            <w:r>
              <w:rPr>
                <w:rFonts w:ascii="楷体_GB2312" w:eastAsia="楷体_GB2312" w:hint="eastAsia"/>
              </w:rPr>
              <w:t>约</w:t>
            </w:r>
            <w:r>
              <w:rPr>
                <w:rFonts w:ascii="楷体_GB2312" w:eastAsia="楷体_GB2312" w:hint="eastAsia"/>
              </w:rPr>
              <w:t>12.36</w:t>
            </w:r>
            <w:r>
              <w:rPr>
                <w:rFonts w:ascii="楷体_GB2312" w:eastAsia="楷体_GB2312" w:hint="eastAsia"/>
              </w:rPr>
              <w:t>倍</w:t>
            </w:r>
          </w:p>
        </w:tc>
      </w:tr>
      <w:tr w:rsidR="00000000">
        <w:tblPrEx>
          <w:tblCellMar>
            <w:top w:w="0" w:type="dxa"/>
            <w:bottom w:w="0" w:type="dxa"/>
          </w:tblCellMar>
        </w:tblPrEx>
        <w:tc>
          <w:tcPr>
            <w:tcW w:w="1808" w:type="dxa"/>
            <w:shd w:val="pct5" w:color="auto" w:fill="auto"/>
          </w:tcPr>
          <w:p w:rsidR="00000000" w:rsidRDefault="007C2E6A">
            <w:pPr>
              <w:jc w:val="center"/>
              <w:rPr>
                <w:rFonts w:ascii="黑体" w:eastAsia="黑体" w:hint="eastAsia"/>
              </w:rPr>
            </w:pPr>
            <w:r>
              <w:rPr>
                <w:rFonts w:ascii="黑体" w:eastAsia="黑体" w:hint="eastAsia"/>
              </w:rPr>
              <w:t>上网用户数</w:t>
            </w:r>
          </w:p>
        </w:tc>
        <w:tc>
          <w:tcPr>
            <w:tcW w:w="1762" w:type="dxa"/>
          </w:tcPr>
          <w:p w:rsidR="00000000" w:rsidRDefault="007C2E6A">
            <w:pPr>
              <w:jc w:val="center"/>
              <w:rPr>
                <w:rFonts w:ascii="楷体_GB2312" w:eastAsia="楷体_GB2312" w:hint="eastAsia"/>
              </w:rPr>
            </w:pPr>
            <w:r>
              <w:rPr>
                <w:rFonts w:ascii="楷体_GB2312" w:eastAsia="楷体_GB2312" w:hint="eastAsia"/>
              </w:rPr>
              <w:t>62</w:t>
            </w:r>
            <w:r>
              <w:rPr>
                <w:rFonts w:ascii="楷体_GB2312" w:eastAsia="楷体_GB2312" w:hint="eastAsia"/>
              </w:rPr>
              <w:t>万</w:t>
            </w:r>
          </w:p>
        </w:tc>
        <w:tc>
          <w:tcPr>
            <w:tcW w:w="1785" w:type="dxa"/>
          </w:tcPr>
          <w:p w:rsidR="00000000" w:rsidRDefault="007C2E6A">
            <w:pPr>
              <w:jc w:val="center"/>
              <w:rPr>
                <w:rFonts w:ascii="楷体_GB2312" w:eastAsia="楷体_GB2312" w:hint="eastAsia"/>
              </w:rPr>
            </w:pPr>
            <w:r>
              <w:rPr>
                <w:rFonts w:ascii="楷体_GB2312" w:eastAsia="楷体_GB2312" w:hint="eastAsia"/>
              </w:rPr>
              <w:t>890</w:t>
            </w:r>
            <w:r>
              <w:rPr>
                <w:rFonts w:ascii="楷体_GB2312" w:eastAsia="楷体_GB2312" w:hint="eastAsia"/>
              </w:rPr>
              <w:t>万</w:t>
            </w:r>
          </w:p>
        </w:tc>
        <w:tc>
          <w:tcPr>
            <w:tcW w:w="1365" w:type="dxa"/>
          </w:tcPr>
          <w:p w:rsidR="00000000" w:rsidRDefault="007C2E6A">
            <w:pPr>
              <w:jc w:val="center"/>
              <w:rPr>
                <w:rFonts w:ascii="楷体_GB2312" w:eastAsia="楷体_GB2312" w:hint="eastAsia"/>
              </w:rPr>
            </w:pPr>
            <w:r>
              <w:rPr>
                <w:rFonts w:ascii="楷体_GB2312" w:eastAsia="楷体_GB2312" w:hint="eastAsia"/>
              </w:rPr>
              <w:t>约</w:t>
            </w:r>
            <w:r>
              <w:rPr>
                <w:rFonts w:ascii="楷体_GB2312" w:eastAsia="楷体_GB2312" w:hint="eastAsia"/>
              </w:rPr>
              <w:t>14.3</w:t>
            </w:r>
            <w:r>
              <w:rPr>
                <w:rFonts w:ascii="楷体_GB2312" w:eastAsia="楷体_GB2312" w:hint="eastAsia"/>
              </w:rPr>
              <w:t>5</w:t>
            </w:r>
            <w:r>
              <w:rPr>
                <w:rFonts w:ascii="楷体_GB2312" w:eastAsia="楷体_GB2312" w:hint="eastAsia"/>
              </w:rPr>
              <w:t>倍</w:t>
            </w:r>
          </w:p>
        </w:tc>
      </w:tr>
      <w:tr w:rsidR="00000000">
        <w:tblPrEx>
          <w:tblCellMar>
            <w:top w:w="0" w:type="dxa"/>
            <w:bottom w:w="0" w:type="dxa"/>
          </w:tblCellMar>
        </w:tblPrEx>
        <w:tc>
          <w:tcPr>
            <w:tcW w:w="1808" w:type="dxa"/>
            <w:shd w:val="pct5" w:color="auto" w:fill="auto"/>
          </w:tcPr>
          <w:p w:rsidR="00000000" w:rsidRDefault="007C2E6A">
            <w:pPr>
              <w:jc w:val="center"/>
              <w:rPr>
                <w:rFonts w:ascii="黑体" w:eastAsia="黑体" w:hint="eastAsia"/>
              </w:rPr>
            </w:pPr>
            <w:r>
              <w:rPr>
                <w:rFonts w:ascii="黑体" w:eastAsia="黑体" w:hint="eastAsia"/>
              </w:rPr>
              <w:t>总带宽容量</w:t>
            </w:r>
          </w:p>
        </w:tc>
        <w:tc>
          <w:tcPr>
            <w:tcW w:w="1762" w:type="dxa"/>
          </w:tcPr>
          <w:p w:rsidR="00000000" w:rsidRDefault="007C2E6A">
            <w:pPr>
              <w:jc w:val="center"/>
              <w:rPr>
                <w:rFonts w:ascii="楷体_GB2312" w:eastAsia="楷体_GB2312" w:hint="eastAsia"/>
              </w:rPr>
            </w:pPr>
            <w:r>
              <w:rPr>
                <w:rFonts w:ascii="楷体_GB2312" w:eastAsia="楷体_GB2312" w:hint="eastAsia"/>
              </w:rPr>
              <w:t>25.408M</w:t>
            </w:r>
          </w:p>
        </w:tc>
        <w:tc>
          <w:tcPr>
            <w:tcW w:w="1785" w:type="dxa"/>
          </w:tcPr>
          <w:p w:rsidR="00000000" w:rsidRDefault="007C2E6A">
            <w:pPr>
              <w:jc w:val="center"/>
              <w:rPr>
                <w:rFonts w:ascii="楷体_GB2312" w:eastAsia="楷体_GB2312" w:hint="eastAsia"/>
              </w:rPr>
            </w:pPr>
            <w:r>
              <w:rPr>
                <w:rFonts w:ascii="楷体_GB2312" w:eastAsia="楷体_GB2312" w:hint="eastAsia"/>
              </w:rPr>
              <w:t>351M</w:t>
            </w:r>
          </w:p>
        </w:tc>
        <w:tc>
          <w:tcPr>
            <w:tcW w:w="1365" w:type="dxa"/>
          </w:tcPr>
          <w:p w:rsidR="00000000" w:rsidRDefault="007C2E6A">
            <w:pPr>
              <w:jc w:val="center"/>
              <w:rPr>
                <w:rFonts w:ascii="楷体_GB2312" w:eastAsia="楷体_GB2312" w:hint="eastAsia"/>
              </w:rPr>
            </w:pPr>
            <w:r>
              <w:rPr>
                <w:rFonts w:ascii="楷体_GB2312" w:eastAsia="楷体_GB2312" w:hint="eastAsia"/>
              </w:rPr>
              <w:t>约</w:t>
            </w:r>
            <w:r>
              <w:rPr>
                <w:rFonts w:ascii="楷体_GB2312" w:eastAsia="楷体_GB2312" w:hint="eastAsia"/>
              </w:rPr>
              <w:t>13.81</w:t>
            </w:r>
            <w:r>
              <w:rPr>
                <w:rFonts w:ascii="楷体_GB2312" w:eastAsia="楷体_GB2312" w:hint="eastAsia"/>
              </w:rPr>
              <w:t>倍</w:t>
            </w:r>
          </w:p>
        </w:tc>
      </w:tr>
      <w:tr w:rsidR="00000000">
        <w:tblPrEx>
          <w:tblCellMar>
            <w:top w:w="0" w:type="dxa"/>
            <w:bottom w:w="0" w:type="dxa"/>
          </w:tblCellMar>
        </w:tblPrEx>
        <w:tc>
          <w:tcPr>
            <w:tcW w:w="1808" w:type="dxa"/>
            <w:shd w:val="pct5" w:color="auto" w:fill="auto"/>
          </w:tcPr>
          <w:p w:rsidR="00000000" w:rsidRDefault="007C2E6A">
            <w:pPr>
              <w:jc w:val="center"/>
              <w:rPr>
                <w:rFonts w:ascii="黑体" w:eastAsia="黑体" w:hint="eastAsia"/>
              </w:rPr>
            </w:pPr>
            <w:r>
              <w:rPr>
                <w:rFonts w:ascii="黑体" w:eastAsia="黑体" w:hint="eastAsia"/>
              </w:rPr>
              <w:t>www</w:t>
            </w:r>
            <w:r>
              <w:rPr>
                <w:rFonts w:ascii="黑体" w:eastAsia="黑体" w:hint="eastAsia"/>
              </w:rPr>
              <w:t>站点数</w:t>
            </w:r>
          </w:p>
        </w:tc>
        <w:tc>
          <w:tcPr>
            <w:tcW w:w="1762" w:type="dxa"/>
            <w:vAlign w:val="center"/>
          </w:tcPr>
          <w:p w:rsidR="00000000" w:rsidRDefault="007C2E6A">
            <w:pPr>
              <w:jc w:val="center"/>
              <w:rPr>
                <w:rFonts w:ascii="楷体_GB2312" w:eastAsia="楷体_GB2312" w:hint="eastAsia"/>
              </w:rPr>
            </w:pPr>
            <w:r>
              <w:rPr>
                <w:rFonts w:ascii="楷体_GB2312" w:eastAsia="楷体_GB2312" w:hint="eastAsia"/>
              </w:rPr>
              <w:t>约</w:t>
            </w:r>
            <w:r>
              <w:rPr>
                <w:rFonts w:ascii="楷体_GB2312" w:eastAsia="楷体_GB2312" w:hint="eastAsia"/>
              </w:rPr>
              <w:t>1500</w:t>
            </w:r>
            <w:r>
              <w:rPr>
                <w:rFonts w:ascii="楷体_GB2312" w:eastAsia="楷体_GB2312" w:hint="eastAsia"/>
              </w:rPr>
              <w:t>个</w:t>
            </w:r>
          </w:p>
        </w:tc>
        <w:tc>
          <w:tcPr>
            <w:tcW w:w="1785" w:type="dxa"/>
            <w:vAlign w:val="center"/>
          </w:tcPr>
          <w:p w:rsidR="00000000" w:rsidRDefault="007C2E6A">
            <w:pPr>
              <w:jc w:val="center"/>
              <w:rPr>
                <w:rFonts w:ascii="楷体_GB2312" w:eastAsia="楷体_GB2312" w:hint="eastAsia"/>
              </w:rPr>
            </w:pPr>
            <w:r>
              <w:rPr>
                <w:rFonts w:ascii="楷体_GB2312" w:eastAsia="楷体_GB2312" w:hint="eastAsia"/>
              </w:rPr>
              <w:t>约</w:t>
            </w:r>
            <w:r>
              <w:rPr>
                <w:rFonts w:ascii="楷体_GB2312" w:eastAsia="楷体_GB2312" w:hint="eastAsia"/>
              </w:rPr>
              <w:t>15153</w:t>
            </w:r>
            <w:r>
              <w:rPr>
                <w:rFonts w:ascii="楷体_GB2312" w:eastAsia="楷体_GB2312" w:hint="eastAsia"/>
              </w:rPr>
              <w:t>个</w:t>
            </w:r>
          </w:p>
        </w:tc>
        <w:tc>
          <w:tcPr>
            <w:tcW w:w="1365" w:type="dxa"/>
            <w:vAlign w:val="center"/>
          </w:tcPr>
          <w:p w:rsidR="00000000" w:rsidRDefault="007C2E6A">
            <w:pPr>
              <w:jc w:val="center"/>
              <w:rPr>
                <w:rFonts w:ascii="楷体_GB2312" w:eastAsia="楷体_GB2312" w:hint="eastAsia"/>
              </w:rPr>
            </w:pPr>
            <w:r>
              <w:rPr>
                <w:rFonts w:ascii="楷体_GB2312" w:eastAsia="楷体_GB2312" w:hint="eastAsia"/>
              </w:rPr>
              <w:t>约</w:t>
            </w:r>
            <w:r>
              <w:rPr>
                <w:rFonts w:ascii="楷体_GB2312" w:eastAsia="楷体_GB2312" w:hint="eastAsia"/>
              </w:rPr>
              <w:t>10.1</w:t>
            </w:r>
            <w:r>
              <w:rPr>
                <w:rFonts w:ascii="楷体_GB2312" w:eastAsia="楷体_GB2312" w:hint="eastAsia"/>
              </w:rPr>
              <w:t>倍</w:t>
            </w:r>
          </w:p>
        </w:tc>
      </w:tr>
    </w:tbl>
    <w:p w:rsidR="007C2E6A" w:rsidRDefault="007C2E6A"/>
    <w:sectPr w:rsidR="007C2E6A">
      <w:pgSz w:w="11907" w:h="16840" w:code="9"/>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D7D"/>
    <w:rsid w:val="00587D7D"/>
    <w:rsid w:val="007C2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pPr>
      <w:widowControl/>
      <w:spacing w:line="360" w:lineRule="exact"/>
      <w:ind w:firstLine="403"/>
    </w:pPr>
    <w:rPr>
      <w:noProof/>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pPr>
      <w:widowControl/>
      <w:spacing w:line="360" w:lineRule="exact"/>
      <w:ind w:firstLine="403"/>
    </w:pPr>
    <w:rPr>
      <w:noProo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707</Characters>
  <Application>Microsoft Office Word</Application>
  <DocSecurity>0</DocSecurity>
  <Lines>5</Lines>
  <Paragraphs>1</Paragraphs>
  <ScaleCrop>false</ScaleCrop>
  <HeadingPairs>
    <vt:vector size="2" baseType="variant">
      <vt:variant>
        <vt:lpstr>题目</vt:lpstr>
      </vt:variant>
      <vt:variant>
        <vt:i4>1</vt:i4>
      </vt:variant>
    </vt:vector>
  </HeadingPairs>
  <TitlesOfParts>
    <vt:vector size="1" baseType="lpstr">
      <vt:lpstr>对计算机基础课程的思考</vt:lpstr>
    </vt:vector>
  </TitlesOfParts>
  <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对计算机基础课程的思考</dc:title>
  <dc:creator>陈文华</dc:creator>
  <cp:lastModifiedBy>sony</cp:lastModifiedBy>
  <cp:revision>2</cp:revision>
  <dcterms:created xsi:type="dcterms:W3CDTF">2014-09-08T01:49:00Z</dcterms:created>
  <dcterms:modified xsi:type="dcterms:W3CDTF">2014-09-08T01:49:00Z</dcterms:modified>
</cp:coreProperties>
</file>