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宋体" w:hAnsi="宋体" w:eastAsia="宋体"/>
          <w:sz w:val="36"/>
          <w:szCs w:val="36"/>
        </w:rPr>
      </w:pPr>
      <w:r>
        <w:rPr>
          <w:rFonts w:hint="eastAsia" w:ascii="宋体" w:hAnsi="宋体" w:eastAsia="宋体"/>
          <w:sz w:val="36"/>
          <w:szCs w:val="36"/>
        </w:rPr>
        <w:t>关于本次期末自开课终结性考试安排的通知</w:t>
      </w:r>
    </w:p>
    <w:p>
      <w:pPr>
        <w:rPr>
          <w:rFonts w:ascii="宋体" w:hAnsi="宋体" w:eastAsia="宋体"/>
          <w:sz w:val="28"/>
          <w:szCs w:val="28"/>
        </w:rPr>
      </w:pPr>
    </w:p>
    <w:p>
      <w:pPr>
        <w:rPr>
          <w:rFonts w:ascii="宋体" w:hAnsi="宋体" w:eastAsia="宋体"/>
          <w:sz w:val="28"/>
          <w:szCs w:val="28"/>
        </w:rPr>
      </w:pPr>
      <w:r>
        <w:rPr>
          <w:rFonts w:hint="eastAsia" w:ascii="宋体" w:hAnsi="宋体" w:eastAsia="宋体"/>
          <w:sz w:val="28"/>
          <w:szCs w:val="28"/>
        </w:rPr>
        <w:t>各直属教学班、各县教学点及县办学单位：</w:t>
      </w:r>
    </w:p>
    <w:p>
      <w:pPr>
        <w:ind w:firstLine="560" w:firstLineChars="200"/>
        <w:rPr>
          <w:rFonts w:ascii="宋体" w:hAnsi="宋体" w:eastAsia="宋体"/>
          <w:sz w:val="28"/>
          <w:szCs w:val="28"/>
        </w:rPr>
      </w:pPr>
      <w:r>
        <w:rPr>
          <w:rFonts w:hint="eastAsia" w:ascii="宋体" w:hAnsi="宋体" w:eastAsia="宋体"/>
          <w:sz w:val="28"/>
          <w:szCs w:val="28"/>
        </w:rPr>
        <w:t>根据省校自开课程考试安排的精神，我校制定自开课考试办法如下：</w:t>
      </w:r>
    </w:p>
    <w:p>
      <w:pPr>
        <w:pStyle w:val="7"/>
        <w:numPr>
          <w:ilvl w:val="0"/>
          <w:numId w:val="1"/>
        </w:numPr>
        <w:ind w:firstLineChars="0"/>
        <w:rPr>
          <w:rFonts w:ascii="宋体" w:hAnsi="宋体" w:eastAsia="宋体"/>
          <w:sz w:val="28"/>
          <w:szCs w:val="28"/>
        </w:rPr>
      </w:pPr>
      <w:r>
        <w:rPr>
          <w:rFonts w:hint="eastAsia" w:ascii="宋体" w:hAnsi="宋体" w:eastAsia="宋体"/>
          <w:sz w:val="28"/>
          <w:szCs w:val="28"/>
        </w:rPr>
        <w:t>开放式考试课程</w:t>
      </w:r>
    </w:p>
    <w:p>
      <w:pPr>
        <w:ind w:firstLine="560" w:firstLineChars="200"/>
        <w:rPr>
          <w:rFonts w:ascii="宋体" w:hAnsi="宋体" w:eastAsia="宋体"/>
          <w:sz w:val="28"/>
          <w:szCs w:val="28"/>
        </w:rPr>
      </w:pPr>
      <w:r>
        <w:rPr>
          <w:rFonts w:hint="eastAsia" w:ascii="宋体" w:hAnsi="宋体" w:eastAsia="宋体"/>
          <w:sz w:val="28"/>
          <w:szCs w:val="28"/>
        </w:rPr>
        <w:t>1、专科2001《中国特色社会主义理论体系概论》，考试内容为论述题解析，终考比例占50%，由国家开放大学命制试卷，含两道主观性题目，各50分。国家开放大学考试中心在统一期末考试前两周发布试题，市校下载后下发，采用分散形式答题，班主任或各县教学组织单位回收试卷于7月5日前交市校教务处，统一组织评阅、成绩登录。学生答卷由市校教务处留存。该门课程考试要求学生使用A4纸手写完成，不得打印、复印。</w:t>
      </w:r>
    </w:p>
    <w:p>
      <w:pPr>
        <w:ind w:firstLine="560" w:firstLineChars="200"/>
        <w:rPr>
          <w:rFonts w:ascii="宋体" w:hAnsi="宋体" w:eastAsia="宋体"/>
          <w:sz w:val="28"/>
          <w:szCs w:val="28"/>
        </w:rPr>
      </w:pPr>
      <w:r>
        <w:rPr>
          <w:rFonts w:hint="eastAsia" w:ascii="宋体" w:hAnsi="宋体" w:eastAsia="宋体"/>
          <w:sz w:val="28"/>
          <w:szCs w:val="28"/>
        </w:rPr>
        <w:t>本课程命题原则：（1）重点考核对于中国特色社会主义理论体系的基本理论观点的理解与运用能力，以及理论联系实际分析问题的能力。（2）理论联系实际，能够运用中国特色社会主义理论体系的基本理论观点，分析解答理论或现实问题。（3）写作主题覆盖本课程文字教材的全部内容。</w:t>
      </w:r>
    </w:p>
    <w:p>
      <w:pPr>
        <w:ind w:firstLine="560" w:firstLineChars="200"/>
        <w:rPr>
          <w:rFonts w:ascii="宋体" w:hAnsi="宋体" w:eastAsia="宋体"/>
          <w:sz w:val="28"/>
          <w:szCs w:val="28"/>
        </w:rPr>
      </w:pPr>
      <w:r>
        <w:rPr>
          <w:rFonts w:hint="eastAsia" w:ascii="宋体" w:hAnsi="宋体" w:eastAsia="宋体"/>
          <w:sz w:val="28"/>
          <w:szCs w:val="28"/>
        </w:rPr>
        <w:t>2、专科2012《管理概论》，终考比例占50%，考试要求为提交一篇论文，班主任或各县教学组织单位收齐后于7月5日前交市校教务处，统一组织评阅、成绩登录。学生答卷由市校教务处留存。</w:t>
      </w:r>
    </w:p>
    <w:p>
      <w:pPr>
        <w:rPr>
          <w:rFonts w:ascii="宋体" w:hAnsi="宋体" w:eastAsia="宋体"/>
          <w:sz w:val="28"/>
          <w:szCs w:val="28"/>
        </w:rPr>
      </w:pPr>
    </w:p>
    <w:p>
      <w:pPr>
        <w:pStyle w:val="7"/>
        <w:numPr>
          <w:ilvl w:val="0"/>
          <w:numId w:val="1"/>
        </w:numPr>
        <w:ind w:firstLineChars="0"/>
        <w:rPr>
          <w:rFonts w:ascii="宋体" w:hAnsi="宋体" w:eastAsia="宋体"/>
          <w:sz w:val="28"/>
          <w:szCs w:val="28"/>
        </w:rPr>
      </w:pPr>
      <w:r>
        <w:rPr>
          <w:rFonts w:hint="eastAsia" w:ascii="宋体" w:hAnsi="宋体" w:eastAsia="宋体"/>
          <w:sz w:val="28"/>
          <w:szCs w:val="28"/>
        </w:rPr>
        <w:t>以下课程由市校统一命题、安排考试、阅卷，作为本门课</w:t>
      </w:r>
    </w:p>
    <w:p>
      <w:pPr>
        <w:rPr>
          <w:rFonts w:hint="eastAsia" w:ascii="宋体" w:hAnsi="宋体" w:eastAsia="宋体"/>
          <w:sz w:val="28"/>
          <w:szCs w:val="28"/>
        </w:rPr>
      </w:pPr>
      <w:r>
        <w:rPr>
          <w:rFonts w:hint="eastAsia" w:ascii="宋体" w:hAnsi="宋体" w:eastAsia="宋体"/>
          <w:sz w:val="28"/>
          <w:szCs w:val="28"/>
        </w:rPr>
        <w:t>程终考成绩。试卷由市校教务处留存。</w:t>
      </w:r>
    </w:p>
    <w:p>
      <w:pPr>
        <w:rPr>
          <w:rFonts w:ascii="宋体" w:hAnsi="宋体" w:eastAsia="宋体"/>
          <w:sz w:val="28"/>
          <w:szCs w:val="28"/>
        </w:rPr>
      </w:pPr>
      <w:bookmarkStart w:id="0" w:name="_GoBack"/>
      <w:bookmarkEnd w:id="0"/>
    </w:p>
    <w:tbl>
      <w:tblPr>
        <w:tblStyle w:val="6"/>
        <w:tblW w:w="8000" w:type="dxa"/>
        <w:jc w:val="center"/>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2880"/>
        <w:gridCol w:w="1240"/>
        <w:gridCol w:w="3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考试时间</w:t>
            </w:r>
          </w:p>
        </w:tc>
        <w:tc>
          <w:tcPr>
            <w:tcW w:w="1240" w:type="dxa"/>
            <w:tcBorders>
              <w:top w:val="single" w:color="auto" w:sz="4" w:space="0"/>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试卷号</w:t>
            </w:r>
          </w:p>
        </w:tc>
        <w:tc>
          <w:tcPr>
            <w:tcW w:w="3880" w:type="dxa"/>
            <w:tcBorders>
              <w:top w:val="single" w:color="auto" w:sz="4" w:space="0"/>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课程名称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5日8：30——9:30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1182</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行政伦理学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5日8：30——9:30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7133</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小学科学教学研究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5日8：30——9:30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8699</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医药商品营销实务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5日10：00——11:00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2058</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c++语言程序设计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5日10：00——11:00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2123</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医用基础化学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5日10：00——11:00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7355</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美学与美育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5日10：00——11:00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7673</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现代教育原理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5日15：00——16:00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7003</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公共管理学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5日15：00——16:00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7176</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素质与思想政治教育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5日15：00——16:00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8050</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生药学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5日15：00——16:00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8557</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中外基础教育改革与发展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5日15：00——16:00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8693</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Internet和Intranet应用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5日16：30——17:30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7171</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高速公路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5日16：30——17:30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8176</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外国文学名著选讲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5日16：30——17:30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8565</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中国教育简史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jc w:val="center"/>
        </w:trPr>
        <w:tc>
          <w:tcPr>
            <w:tcW w:w="2880" w:type="dxa"/>
            <w:tcBorders>
              <w:top w:val="nil"/>
              <w:left w:val="single" w:color="auto" w:sz="4" w:space="0"/>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5日16：30——17:30</w:t>
            </w:r>
          </w:p>
        </w:tc>
        <w:tc>
          <w:tcPr>
            <w:tcW w:w="1240" w:type="dxa"/>
            <w:tcBorders>
              <w:top w:val="nil"/>
              <w:left w:val="nil"/>
              <w:bottom w:val="single" w:color="auto" w:sz="4" w:space="0"/>
              <w:right w:val="single" w:color="auto" w:sz="4" w:space="0"/>
            </w:tcBorders>
            <w:vAlign w:val="center"/>
          </w:tcPr>
          <w:p>
            <w:pPr>
              <w:spacing w:line="240" w:lineRule="auto"/>
              <w:jc w:val="center"/>
              <w:rPr>
                <w:rFonts w:ascii="宋体" w:hAnsi="宋体" w:cs="宋体"/>
                <w:color w:val="000000"/>
                <w:kern w:val="0"/>
                <w:sz w:val="24"/>
                <w:szCs w:val="24"/>
              </w:rPr>
            </w:pPr>
            <w:r>
              <w:rPr>
                <w:rFonts w:hint="eastAsia" w:ascii="宋体" w:hAnsi="宋体" w:cs="宋体"/>
                <w:color w:val="000000"/>
                <w:kern w:val="0"/>
                <w:sz w:val="24"/>
                <w:szCs w:val="24"/>
              </w:rPr>
              <w:t>8574</w:t>
            </w:r>
          </w:p>
        </w:tc>
        <w:tc>
          <w:tcPr>
            <w:tcW w:w="3880" w:type="dxa"/>
            <w:tcBorders>
              <w:top w:val="nil"/>
              <w:left w:val="nil"/>
              <w:bottom w:val="single" w:color="auto" w:sz="4" w:space="0"/>
              <w:right w:val="single" w:color="auto" w:sz="4" w:space="0"/>
            </w:tcBorders>
            <w:vAlign w:val="center"/>
          </w:tcPr>
          <w:p>
            <w:pPr>
              <w:spacing w:line="24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医学生物化学</w:t>
            </w:r>
          </w:p>
        </w:tc>
      </w:tr>
    </w:tbl>
    <w:p>
      <w:pPr>
        <w:rPr>
          <w:rFonts w:ascii="宋体" w:hAnsi="宋体" w:eastAsia="宋体"/>
          <w:sz w:val="28"/>
          <w:szCs w:val="28"/>
        </w:rPr>
      </w:pPr>
    </w:p>
    <w:p>
      <w:pPr>
        <w:numPr>
          <w:ilvl w:val="0"/>
          <w:numId w:val="2"/>
        </w:numPr>
        <w:ind w:firstLine="560" w:firstLineChars="200"/>
        <w:rPr>
          <w:rFonts w:hint="eastAsia" w:ascii="宋体" w:hAnsi="宋体" w:eastAsia="宋体"/>
          <w:sz w:val="28"/>
          <w:szCs w:val="28"/>
        </w:rPr>
      </w:pPr>
      <w:r>
        <w:rPr>
          <w:rFonts w:hint="eastAsia" w:ascii="宋体" w:hAnsi="宋体" w:eastAsia="宋体"/>
          <w:sz w:val="28"/>
          <w:szCs w:val="28"/>
        </w:rPr>
        <w:t>以下课程不安排统一考试，由任课教师根据学生学习情况、作业完成情况及平时表现予以评定，给出最终考核成绩，交班主任或各县教学组织单位汇总后报教务处。</w:t>
      </w:r>
    </w:p>
    <w:p>
      <w:pPr>
        <w:numPr>
          <w:numId w:val="0"/>
        </w:numPr>
        <w:rPr>
          <w:rFonts w:hint="eastAsia" w:ascii="宋体" w:hAnsi="宋体" w:eastAsia="宋体"/>
          <w:sz w:val="28"/>
          <w:szCs w:val="28"/>
        </w:rPr>
      </w:pPr>
    </w:p>
    <w:tbl>
      <w:tblPr>
        <w:tblW w:w="8640" w:type="dxa"/>
        <w:tblInd w:w="-15" w:type="dxa"/>
        <w:shd w:val="clear" w:color="auto" w:fill="auto"/>
        <w:tblLayout w:type="fixed"/>
        <w:tblCellMar>
          <w:top w:w="0" w:type="dxa"/>
          <w:left w:w="0" w:type="dxa"/>
          <w:bottom w:w="0" w:type="dxa"/>
          <w:right w:w="0" w:type="dxa"/>
        </w:tblCellMar>
      </w:tblPr>
      <w:tblGrid>
        <w:gridCol w:w="460"/>
        <w:gridCol w:w="1121"/>
        <w:gridCol w:w="2805"/>
        <w:gridCol w:w="254"/>
        <w:gridCol w:w="1260"/>
        <w:gridCol w:w="2740"/>
      </w:tblGrid>
      <w:tr>
        <w:tblPrEx>
          <w:shd w:val="clear" w:color="auto" w:fill="auto"/>
          <w:tblLayout w:type="fixed"/>
          <w:tblCellMar>
            <w:top w:w="0" w:type="dxa"/>
            <w:left w:w="0" w:type="dxa"/>
            <w:bottom w:w="0" w:type="dxa"/>
            <w:right w:w="0" w:type="dxa"/>
          </w:tblCellMar>
        </w:tblPrEx>
        <w:trPr>
          <w:trHeight w:val="600" w:hRule="atLeast"/>
        </w:trPr>
        <w:tc>
          <w:tcPr>
            <w:tcW w:w="4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　</w:t>
            </w:r>
          </w:p>
        </w:tc>
        <w:tc>
          <w:tcPr>
            <w:tcW w:w="1121"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 xml:space="preserve"> 试卷代码</w:t>
            </w:r>
          </w:p>
        </w:tc>
        <w:tc>
          <w:tcPr>
            <w:tcW w:w="2805"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 xml:space="preserve"> 试卷名称</w:t>
            </w:r>
          </w:p>
        </w:tc>
        <w:tc>
          <w:tcPr>
            <w:tcW w:w="254"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　</w:t>
            </w:r>
          </w:p>
        </w:tc>
        <w:tc>
          <w:tcPr>
            <w:tcW w:w="126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 xml:space="preserve"> 试卷代码</w:t>
            </w:r>
          </w:p>
        </w:tc>
        <w:tc>
          <w:tcPr>
            <w:tcW w:w="274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 xml:space="preserve"> 试卷名称</w:t>
            </w:r>
          </w:p>
        </w:tc>
      </w:tr>
      <w:tr>
        <w:tblPrEx>
          <w:tblLayout w:type="fixed"/>
          <w:tblCellMar>
            <w:top w:w="0" w:type="dxa"/>
            <w:left w:w="0" w:type="dxa"/>
            <w:bottom w:w="0" w:type="dxa"/>
            <w:right w:w="0" w:type="dxa"/>
          </w:tblCellMar>
        </w:tblPrEx>
        <w:trPr>
          <w:trHeight w:val="439" w:hRule="atLeast"/>
        </w:trPr>
        <w:tc>
          <w:tcPr>
            <w:tcW w:w="460" w:type="dxa"/>
            <w:vMerge w:val="restart"/>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本</w:t>
            </w:r>
            <w:r>
              <w:rPr>
                <w:rFonts w:hint="eastAsia" w:ascii="宋体" w:hAnsi="宋体" w:eastAsia="宋体" w:cs="宋体"/>
                <w:i w:val="0"/>
                <w:color w:val="000000"/>
                <w:kern w:val="0"/>
                <w:sz w:val="24"/>
                <w:szCs w:val="24"/>
                <w:u w:val="none"/>
                <w:bdr w:val="none" w:color="auto" w:sz="0" w:space="0"/>
                <w:lang w:val="en-US" w:eastAsia="zh-CN" w:bidi="ar-SA"/>
              </w:rPr>
              <w:br/>
            </w:r>
            <w:r>
              <w:rPr>
                <w:rFonts w:hint="eastAsia" w:ascii="宋体" w:hAnsi="宋体" w:eastAsia="宋体" w:cs="宋体"/>
                <w:i w:val="0"/>
                <w:color w:val="000000"/>
                <w:kern w:val="0"/>
                <w:sz w:val="24"/>
                <w:szCs w:val="24"/>
                <w:u w:val="none"/>
                <w:bdr w:val="none" w:color="auto" w:sz="0" w:space="0"/>
                <w:lang w:val="en-US" w:eastAsia="zh-CN" w:bidi="ar-SA"/>
              </w:rPr>
              <w:br/>
            </w:r>
            <w:r>
              <w:rPr>
                <w:rFonts w:hint="eastAsia" w:ascii="宋体" w:hAnsi="宋体" w:eastAsia="宋体" w:cs="宋体"/>
                <w:i w:val="0"/>
                <w:color w:val="000000"/>
                <w:kern w:val="0"/>
                <w:sz w:val="24"/>
                <w:szCs w:val="24"/>
                <w:u w:val="none"/>
                <w:bdr w:val="none" w:color="auto" w:sz="0" w:space="0"/>
                <w:lang w:val="en-US" w:eastAsia="zh-CN" w:bidi="ar-SA"/>
              </w:rPr>
              <w:t>科</w:t>
            </w: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1064</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英语教学法（1）</w:t>
            </w:r>
          </w:p>
        </w:tc>
        <w:tc>
          <w:tcPr>
            <w:tcW w:w="254" w:type="dxa"/>
            <w:vMerge w:val="restart"/>
            <w:tcBorders>
              <w:top w:val="nil"/>
              <w:left w:val="single" w:color="auto" w:sz="4" w:space="0"/>
              <w:bottom w:val="nil"/>
              <w:right w:val="nil"/>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专</w:t>
            </w:r>
            <w:r>
              <w:rPr>
                <w:rFonts w:hint="eastAsia" w:ascii="宋体" w:hAnsi="宋体" w:eastAsia="宋体" w:cs="宋体"/>
                <w:i w:val="0"/>
                <w:color w:val="000000"/>
                <w:kern w:val="0"/>
                <w:sz w:val="24"/>
                <w:szCs w:val="24"/>
                <w:u w:val="none"/>
                <w:bdr w:val="none" w:color="auto" w:sz="0" w:space="0"/>
                <w:lang w:val="en-US" w:eastAsia="zh-CN" w:bidi="ar-SA"/>
              </w:rPr>
              <w:br/>
            </w:r>
            <w:r>
              <w:rPr>
                <w:rFonts w:hint="eastAsia" w:ascii="宋体" w:hAnsi="宋体" w:eastAsia="宋体" w:cs="宋体"/>
                <w:i w:val="0"/>
                <w:color w:val="000000"/>
                <w:kern w:val="0"/>
                <w:sz w:val="24"/>
                <w:szCs w:val="24"/>
                <w:u w:val="none"/>
                <w:bdr w:val="none" w:color="auto" w:sz="0" w:space="0"/>
                <w:lang w:val="en-US" w:eastAsia="zh-CN" w:bidi="ar-SA"/>
              </w:rPr>
              <w:br/>
            </w:r>
            <w:r>
              <w:rPr>
                <w:rFonts w:hint="eastAsia" w:ascii="宋体" w:hAnsi="宋体" w:eastAsia="宋体" w:cs="宋体"/>
                <w:i w:val="0"/>
                <w:color w:val="000000"/>
                <w:kern w:val="0"/>
                <w:sz w:val="24"/>
                <w:szCs w:val="24"/>
                <w:u w:val="none"/>
                <w:bdr w:val="none" w:color="auto" w:sz="0" w:space="0"/>
                <w:lang w:val="en-US" w:eastAsia="zh-CN" w:bidi="ar-SA"/>
              </w:rPr>
              <w:br/>
            </w:r>
            <w:r>
              <w:rPr>
                <w:rFonts w:hint="eastAsia" w:ascii="宋体" w:hAnsi="宋体" w:eastAsia="宋体" w:cs="宋体"/>
                <w:i w:val="0"/>
                <w:color w:val="000000"/>
                <w:kern w:val="0"/>
                <w:sz w:val="24"/>
                <w:szCs w:val="24"/>
                <w:u w:val="none"/>
                <w:bdr w:val="none" w:color="auto" w:sz="0" w:space="0"/>
                <w:lang w:val="en-US" w:eastAsia="zh-CN" w:bidi="ar-SA"/>
              </w:rPr>
              <w:t>科</w:t>
            </w: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2352</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建筑制图基础实训</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1065</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英语教学法（2）</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8225</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基础会计实验</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7015</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管理思想史</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8257</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会计操作实务</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7027</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施工技术</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2463</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建筑工程估价实训</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7039</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英语国家概况（2）</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8005</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企业会计与财务</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7311</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小学英语教学研究</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8034</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计算机网络</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7312</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小学生心理健康教育</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8035</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金融审计</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7343</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园艺产品贮藏与加工</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8171</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液压与气压传动</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7676</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流体力学</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8230</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网络安全技术</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7677</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高层建筑施工</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8246</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素质与思想品德教育</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7678</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网络营销</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8514</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F</w:t>
            </w:r>
            <w:r>
              <w:rPr>
                <w:rStyle w:val="11"/>
                <w:bdr w:val="none" w:color="auto" w:sz="0" w:space="0"/>
                <w:lang w:val="en-US" w:eastAsia="zh-CN" w:bidi="ar-SA"/>
              </w:rPr>
              <w:t>lash动画制作</w:t>
            </w:r>
          </w:p>
        </w:tc>
      </w:tr>
      <w:tr>
        <w:tblPrEx>
          <w:tblLayout w:type="fixed"/>
          <w:tblCellMar>
            <w:top w:w="0" w:type="dxa"/>
            <w:left w:w="0" w:type="dxa"/>
            <w:bottom w:w="0" w:type="dxa"/>
            <w:right w:w="0" w:type="dxa"/>
          </w:tblCellMar>
        </w:tblPrEx>
        <w:trPr>
          <w:trHeight w:val="439" w:hRule="atLeast"/>
        </w:trPr>
        <w:tc>
          <w:tcPr>
            <w:tcW w:w="460" w:type="dxa"/>
            <w:vMerge w:val="restart"/>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专</w:t>
            </w:r>
            <w:r>
              <w:rPr>
                <w:rFonts w:hint="eastAsia" w:ascii="宋体" w:hAnsi="宋体" w:eastAsia="宋体" w:cs="宋体"/>
                <w:i w:val="0"/>
                <w:color w:val="000000"/>
                <w:kern w:val="0"/>
                <w:sz w:val="24"/>
                <w:szCs w:val="24"/>
                <w:u w:val="none"/>
                <w:bdr w:val="none" w:color="auto" w:sz="0" w:space="0"/>
                <w:lang w:val="en-US" w:eastAsia="zh-CN" w:bidi="ar-SA"/>
              </w:rPr>
              <w:br/>
            </w:r>
            <w:r>
              <w:rPr>
                <w:rFonts w:hint="eastAsia" w:ascii="宋体" w:hAnsi="宋体" w:eastAsia="宋体" w:cs="宋体"/>
                <w:i w:val="0"/>
                <w:color w:val="000000"/>
                <w:kern w:val="0"/>
                <w:sz w:val="24"/>
                <w:szCs w:val="24"/>
                <w:u w:val="none"/>
                <w:bdr w:val="none" w:color="auto" w:sz="0" w:space="0"/>
                <w:lang w:val="en-US" w:eastAsia="zh-CN" w:bidi="ar-SA"/>
              </w:rPr>
              <w:br/>
            </w:r>
            <w:r>
              <w:rPr>
                <w:rFonts w:hint="eastAsia" w:ascii="宋体" w:hAnsi="宋体" w:eastAsia="宋体" w:cs="宋体"/>
                <w:i w:val="0"/>
                <w:color w:val="000000"/>
                <w:kern w:val="0"/>
                <w:sz w:val="24"/>
                <w:szCs w:val="24"/>
                <w:u w:val="none"/>
                <w:bdr w:val="none" w:color="auto" w:sz="0" w:space="0"/>
                <w:lang w:val="en-US" w:eastAsia="zh-CN" w:bidi="ar-SA"/>
              </w:rPr>
              <w:t>科</w:t>
            </w: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2016</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中级财务会计</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8516</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社区护理</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2122</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医学遗传学</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8542</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数据库基础与应用</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2434</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数控专业学习指南</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8543</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天然药物化学</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2450</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安装工程估价实训</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8551</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建筑构造实训</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2461</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计算机专业指南</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8561</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建筑测量</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2333</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单位施工技术方案设计</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8566</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物流学概论</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2346</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建筑构造实训</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8575</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计算机在金融业中的应用</w:t>
            </w:r>
          </w:p>
        </w:tc>
      </w:tr>
      <w:tr>
        <w:tblPrEx>
          <w:tblLayout w:type="fixed"/>
          <w:tblCellMar>
            <w:top w:w="0" w:type="dxa"/>
            <w:left w:w="0" w:type="dxa"/>
            <w:bottom w:w="0" w:type="dxa"/>
            <w:right w:w="0" w:type="dxa"/>
          </w:tblCellMar>
        </w:tblPrEx>
        <w:trPr>
          <w:trHeight w:val="439" w:hRule="atLeast"/>
        </w:trPr>
        <w:tc>
          <w:tcPr>
            <w:tcW w:w="460"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21"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2350</w:t>
            </w:r>
          </w:p>
        </w:tc>
        <w:tc>
          <w:tcPr>
            <w:tcW w:w="2805" w:type="dxa"/>
            <w:tcBorders>
              <w:top w:val="nil"/>
              <w:left w:val="nil"/>
              <w:bottom w:val="single" w:color="auto" w:sz="4" w:space="0"/>
              <w:right w:val="single" w:color="auto" w:sz="4" w:space="0"/>
            </w:tcBorders>
            <w:shd w:val="clear" w:color="auto" w:fill="auto"/>
            <w:tcMar>
              <w:top w:w="15" w:type="dxa"/>
              <w:left w:w="15" w:type="dxa"/>
              <w:right w:w="15" w:type="dxa"/>
            </w:tcMar>
            <w:textDirection w:val="lrTb"/>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建筑施工技术方案设计</w:t>
            </w:r>
          </w:p>
        </w:tc>
        <w:tc>
          <w:tcPr>
            <w:tcW w:w="254" w:type="dxa"/>
            <w:vMerge w:val="continue"/>
            <w:tcBorders>
              <w:top w:val="nil"/>
              <w:left w:val="single" w:color="auto" w:sz="4" w:space="0"/>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6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8577</w:t>
            </w:r>
          </w:p>
        </w:tc>
        <w:tc>
          <w:tcPr>
            <w:tcW w:w="274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SA"/>
              </w:rPr>
              <w:t>电子支付与安全</w:t>
            </w:r>
          </w:p>
        </w:tc>
      </w:tr>
    </w:tbl>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jc w:val="right"/>
        <w:rPr>
          <w:rFonts w:ascii="宋体" w:hAnsi="宋体" w:eastAsia="宋体"/>
          <w:sz w:val="28"/>
          <w:szCs w:val="28"/>
        </w:rPr>
      </w:pPr>
      <w:r>
        <w:rPr>
          <w:rFonts w:hint="eastAsia" w:ascii="宋体" w:hAnsi="宋体" w:eastAsia="宋体"/>
          <w:sz w:val="28"/>
          <w:szCs w:val="28"/>
        </w:rPr>
        <w:t>邢台电大教务处</w:t>
      </w:r>
    </w:p>
    <w:p>
      <w:pPr>
        <w:jc w:val="right"/>
        <w:rPr>
          <w:rFonts w:ascii="宋体" w:hAnsi="宋体" w:eastAsia="宋体"/>
          <w:sz w:val="28"/>
          <w:szCs w:val="28"/>
        </w:rPr>
      </w:pPr>
      <w:r>
        <w:rPr>
          <w:rFonts w:ascii="宋体" w:hAnsi="宋体" w:eastAsia="宋体"/>
          <w:sz w:val="28"/>
          <w:szCs w:val="28"/>
        </w:rPr>
        <w:t>2015年5月26日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91040677">
    <w:nsid w:val="5ED55AA5"/>
    <w:multiLevelType w:val="multilevel"/>
    <w:tmpl w:val="5ED55AA5"/>
    <w:lvl w:ilvl="0" w:tentative="1">
      <w:start w:val="1"/>
      <w:numFmt w:val="japaneseCounting"/>
      <w:lvlText w:val="%1、"/>
      <w:lvlJc w:val="left"/>
      <w:pPr>
        <w:ind w:left="1280" w:hanging="720"/>
      </w:pPr>
      <w:rPr>
        <w:rFonts w:hint="default"/>
      </w:rPr>
    </w:lvl>
    <w:lvl w:ilvl="1" w:tentative="1">
      <w:start w:val="1"/>
      <w:numFmt w:val="lowerLetter"/>
      <w:lvlText w:val="%2)"/>
      <w:lvlJc w:val="left"/>
      <w:pPr>
        <w:ind w:left="1400" w:hanging="420"/>
      </w:pPr>
    </w:lvl>
    <w:lvl w:ilvl="2" w:tentative="1">
      <w:start w:val="1"/>
      <w:numFmt w:val="lowerRoman"/>
      <w:lvlText w:val="%3."/>
      <w:lvlJc w:val="right"/>
      <w:pPr>
        <w:ind w:left="1820" w:hanging="420"/>
      </w:pPr>
    </w:lvl>
    <w:lvl w:ilvl="3" w:tentative="1">
      <w:start w:val="1"/>
      <w:numFmt w:val="decimal"/>
      <w:lvlText w:val="%4."/>
      <w:lvlJc w:val="left"/>
      <w:pPr>
        <w:ind w:left="2240" w:hanging="420"/>
      </w:pPr>
    </w:lvl>
    <w:lvl w:ilvl="4" w:tentative="1">
      <w:start w:val="1"/>
      <w:numFmt w:val="lowerLetter"/>
      <w:lvlText w:val="%5)"/>
      <w:lvlJc w:val="left"/>
      <w:pPr>
        <w:ind w:left="2660" w:hanging="420"/>
      </w:pPr>
    </w:lvl>
    <w:lvl w:ilvl="5" w:tentative="1">
      <w:start w:val="1"/>
      <w:numFmt w:val="lowerRoman"/>
      <w:lvlText w:val="%6."/>
      <w:lvlJc w:val="right"/>
      <w:pPr>
        <w:ind w:left="3080" w:hanging="420"/>
      </w:pPr>
    </w:lvl>
    <w:lvl w:ilvl="6" w:tentative="1">
      <w:start w:val="1"/>
      <w:numFmt w:val="decimal"/>
      <w:lvlText w:val="%7."/>
      <w:lvlJc w:val="left"/>
      <w:pPr>
        <w:ind w:left="3500" w:hanging="420"/>
      </w:pPr>
    </w:lvl>
    <w:lvl w:ilvl="7" w:tentative="1">
      <w:start w:val="1"/>
      <w:numFmt w:val="lowerLetter"/>
      <w:lvlText w:val="%8)"/>
      <w:lvlJc w:val="left"/>
      <w:pPr>
        <w:ind w:left="3920" w:hanging="420"/>
      </w:pPr>
    </w:lvl>
    <w:lvl w:ilvl="8" w:tentative="1">
      <w:start w:val="1"/>
      <w:numFmt w:val="lowerRoman"/>
      <w:lvlText w:val="%9."/>
      <w:lvlJc w:val="right"/>
      <w:pPr>
        <w:ind w:left="4340" w:hanging="420"/>
      </w:pPr>
    </w:lvl>
  </w:abstractNum>
  <w:abstractNum w:abstractNumId="1433923237">
    <w:nsid w:val="5577EEA5"/>
    <w:multiLevelType w:val="singleLevel"/>
    <w:tmpl w:val="5577EEA5"/>
    <w:lvl w:ilvl="0" w:tentative="1">
      <w:start w:val="3"/>
      <w:numFmt w:val="chineseCounting"/>
      <w:suff w:val="nothing"/>
      <w:lvlText w:val="%1、"/>
      <w:lvlJc w:val="left"/>
    </w:lvl>
  </w:abstractNum>
  <w:num w:numId="1">
    <w:abstractNumId w:val="1591040677"/>
  </w:num>
  <w:num w:numId="2">
    <w:abstractNumId w:val="14339232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B43EE0"/>
    <w:rsid w:val="001C4FB2"/>
    <w:rsid w:val="00395776"/>
    <w:rsid w:val="005A03FE"/>
    <w:rsid w:val="00654336"/>
    <w:rsid w:val="006A69A1"/>
    <w:rsid w:val="006A7D40"/>
    <w:rsid w:val="007E17D9"/>
    <w:rsid w:val="008F36BB"/>
    <w:rsid w:val="009E75B6"/>
    <w:rsid w:val="00A0095B"/>
    <w:rsid w:val="00A02186"/>
    <w:rsid w:val="00A56CDA"/>
    <w:rsid w:val="00B175C4"/>
    <w:rsid w:val="00B43EE0"/>
    <w:rsid w:val="00B830AA"/>
    <w:rsid w:val="00BE096E"/>
    <w:rsid w:val="00C72FC1"/>
    <w:rsid w:val="00D13470"/>
    <w:rsid w:val="00D84749"/>
    <w:rsid w:val="00E03192"/>
    <w:rsid w:val="00E046EB"/>
    <w:rsid w:val="00F5411C"/>
    <w:rsid w:val="00F57633"/>
    <w:rsid w:val="0A1572CD"/>
    <w:rsid w:val="1A0D57CA"/>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tLeast"/>
    </w:pPr>
    <w:rPr>
      <w:rFonts w:ascii="Times New Roman" w:hAnsi="Times New Roman" w:eastAsia="宋体" w:cs="Times New Roman"/>
      <w:kern w:val="2"/>
      <w:sz w:val="21"/>
      <w:lang w:val="en-US" w:eastAsia="zh-CN" w:bidi="ar-SA"/>
    </w:rPr>
  </w:style>
  <w:style w:type="character" w:default="1" w:styleId="5">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10"/>
    <w:unhideWhenUsed/>
    <w:uiPriority w:val="99"/>
    <w:pPr>
      <w:spacing w:line="240" w:lineRule="auto"/>
    </w:pPr>
    <w:rPr>
      <w:sz w:val="18"/>
      <w:szCs w:val="18"/>
    </w:rPr>
  </w:style>
  <w:style w:type="paragraph" w:styleId="3">
    <w:name w:val="footer"/>
    <w:basedOn w:val="1"/>
    <w:link w:val="9"/>
    <w:unhideWhenUsed/>
    <w:uiPriority w:val="99"/>
    <w:pPr>
      <w:tabs>
        <w:tab w:val="center" w:pos="4153"/>
        <w:tab w:val="right" w:pos="8306"/>
      </w:tabs>
      <w:snapToGrid w:val="0"/>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99"/>
    <w:pPr>
      <w:ind w:firstLine="420" w:firstLineChars="200"/>
    </w:pPr>
  </w:style>
  <w:style w:type="character" w:customStyle="1" w:styleId="8">
    <w:name w:val="页眉 Char"/>
    <w:basedOn w:val="5"/>
    <w:link w:val="4"/>
    <w:uiPriority w:val="99"/>
    <w:rPr>
      <w:kern w:val="2"/>
      <w:sz w:val="18"/>
      <w:szCs w:val="18"/>
    </w:rPr>
  </w:style>
  <w:style w:type="character" w:customStyle="1" w:styleId="9">
    <w:name w:val="页脚 Char"/>
    <w:basedOn w:val="5"/>
    <w:link w:val="3"/>
    <w:uiPriority w:val="99"/>
    <w:rPr>
      <w:kern w:val="2"/>
      <w:sz w:val="18"/>
      <w:szCs w:val="18"/>
    </w:rPr>
  </w:style>
  <w:style w:type="character" w:customStyle="1" w:styleId="10">
    <w:name w:val="批注框文本 Char"/>
    <w:basedOn w:val="5"/>
    <w:link w:val="2"/>
    <w:semiHidden/>
    <w:uiPriority w:val="99"/>
    <w:rPr>
      <w:kern w:val="2"/>
      <w:sz w:val="18"/>
      <w:szCs w:val="18"/>
    </w:rPr>
  </w:style>
  <w:style w:type="character" w:customStyle="1" w:styleId="11">
    <w:name w:val="font71"/>
    <w:basedOn w:val="5"/>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171</Words>
  <Characters>978</Characters>
  <Lines>8</Lines>
  <Paragraphs>2</Paragraphs>
  <TotalTime>0</TotalTime>
  <ScaleCrop>false</ScaleCrop>
  <LinksUpToDate>false</LinksUpToDate>
  <CharactersWithSpaces>0</CharactersWithSpaces>
  <Application>WPS Office 个人版_9.1.0.4993_{F1E327BC-269C-435d-A152-05C5408002CA}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2015-05-26T02:44:00Z</dcterms:created>
  <dc:creator>user</dc:creator>
  <cp:lastModifiedBy>Administrator</cp:lastModifiedBy>
  <cp:lastPrinted>2015-05-27T01:37:00Z</cp:lastPrinted>
  <dcterms:modified xsi:type="dcterms:W3CDTF">2015-06-10T08:00:26Z</dcterms:modified>
  <dc:title>关于本次期末自开课终结性考试安排的通知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